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097FF" w14:textId="01D0C184" w:rsidR="002B1CA4" w:rsidRDefault="002B1CA4" w:rsidP="00724EDF">
      <w:pPr>
        <w:widowControl w:val="0"/>
        <w:autoSpaceDE w:val="0"/>
        <w:autoSpaceDN w:val="0"/>
        <w:adjustRightInd w:val="0"/>
        <w:spacing w:after="0" w:line="360" w:lineRule="auto"/>
        <w:ind w:left="-630"/>
        <w:rPr>
          <w:rFonts w:ascii="Calibri" w:hAnsi="Calibri" w:cs="Calibri"/>
          <w:b/>
          <w:color w:val="191919"/>
          <w:sz w:val="24"/>
          <w:szCs w:val="24"/>
          <w:lang w:val="en-US"/>
        </w:rPr>
      </w:pPr>
      <w:r w:rsidRPr="00724EDF">
        <w:rPr>
          <w:rFonts w:ascii="Calibri" w:hAnsi="Calibri" w:cs="Calibri"/>
          <w:b/>
          <w:color w:val="191919"/>
          <w:sz w:val="24"/>
          <w:szCs w:val="24"/>
          <w:lang w:val="en-US"/>
        </w:rPr>
        <w:t xml:space="preserve">MEASURING THE OUTCOME OF THE PATIENT WHO </w:t>
      </w:r>
      <w:r w:rsidR="00CD41E4" w:rsidRPr="00724EDF">
        <w:rPr>
          <w:rFonts w:ascii="Calibri" w:hAnsi="Calibri" w:cs="Calibri"/>
          <w:b/>
          <w:color w:val="191919"/>
          <w:sz w:val="24"/>
          <w:szCs w:val="24"/>
          <w:lang w:val="en-US"/>
        </w:rPr>
        <w:t>HAS</w:t>
      </w:r>
      <w:r w:rsidRPr="00724EDF">
        <w:rPr>
          <w:rFonts w:ascii="Calibri" w:hAnsi="Calibri" w:cs="Calibri"/>
          <w:b/>
          <w:color w:val="191919"/>
          <w:sz w:val="24"/>
          <w:szCs w:val="24"/>
          <w:lang w:val="en-US"/>
        </w:rPr>
        <w:t xml:space="preserve"> BEEN THE SUBJECT OF A RRS. </w:t>
      </w:r>
    </w:p>
    <w:p w14:paraId="1103D18E" w14:textId="77777777" w:rsidR="00724EDF" w:rsidRPr="00724EDF" w:rsidRDefault="00724EDF" w:rsidP="00724EDF">
      <w:pPr>
        <w:widowControl w:val="0"/>
        <w:autoSpaceDE w:val="0"/>
        <w:autoSpaceDN w:val="0"/>
        <w:adjustRightInd w:val="0"/>
        <w:spacing w:after="0" w:line="360" w:lineRule="auto"/>
        <w:ind w:left="-630"/>
        <w:rPr>
          <w:rFonts w:ascii="Calibri" w:hAnsi="Calibri" w:cs="Calibri"/>
          <w:b/>
          <w:color w:val="191919"/>
          <w:sz w:val="24"/>
          <w:szCs w:val="24"/>
          <w:lang w:val="en-US"/>
        </w:rPr>
      </w:pPr>
      <w:bookmarkStart w:id="0" w:name="_GoBack"/>
      <w:bookmarkEnd w:id="0"/>
    </w:p>
    <w:p w14:paraId="5A8AE5BD" w14:textId="77777777" w:rsidR="002B1CA4" w:rsidRPr="00724EDF" w:rsidRDefault="002B1CA4" w:rsidP="002B1CA4">
      <w:pPr>
        <w:widowControl w:val="0"/>
        <w:autoSpaceDE w:val="0"/>
        <w:autoSpaceDN w:val="0"/>
        <w:adjustRightInd w:val="0"/>
        <w:spacing w:after="0" w:line="360" w:lineRule="auto"/>
        <w:ind w:left="-709"/>
        <w:rPr>
          <w:rFonts w:ascii="Calibri" w:hAnsi="Calibri" w:cs="Calibri"/>
          <w:b/>
          <w:color w:val="191919"/>
          <w:sz w:val="24"/>
          <w:szCs w:val="24"/>
          <w:lang w:val="en-US"/>
        </w:rPr>
      </w:pPr>
      <w:r w:rsidRPr="00724EDF">
        <w:rPr>
          <w:rFonts w:ascii="Calibri" w:hAnsi="Calibri" w:cs="Calibri"/>
          <w:b/>
          <w:color w:val="191919"/>
          <w:sz w:val="24"/>
          <w:szCs w:val="24"/>
          <w:lang w:val="en-US"/>
        </w:rPr>
        <w:t>Hospital mortality</w:t>
      </w:r>
    </w:p>
    <w:p w14:paraId="1D9C637F" w14:textId="77777777" w:rsidR="002B1CA4" w:rsidRPr="00724EDF" w:rsidRDefault="002B1CA4" w:rsidP="002B1CA4">
      <w:pPr>
        <w:widowControl w:val="0"/>
        <w:autoSpaceDE w:val="0"/>
        <w:autoSpaceDN w:val="0"/>
        <w:adjustRightInd w:val="0"/>
        <w:spacing w:after="0" w:line="360" w:lineRule="auto"/>
        <w:ind w:left="-709"/>
        <w:rPr>
          <w:rFonts w:ascii="Calibri" w:hAnsi="Calibri" w:cs="Calibri"/>
          <w:color w:val="191919"/>
          <w:sz w:val="24"/>
          <w:szCs w:val="24"/>
          <w:lang w:val="en-US"/>
        </w:rPr>
      </w:pPr>
      <w:r w:rsidRPr="00724EDF">
        <w:rPr>
          <w:rFonts w:ascii="Calibri" w:hAnsi="Calibri" w:cs="Calibri"/>
          <w:color w:val="191919"/>
          <w:sz w:val="24"/>
          <w:szCs w:val="24"/>
          <w:lang w:val="en-US"/>
        </w:rPr>
        <w:t xml:space="preserve">Traditionally hospital mortality is the way we have measured the outcome of the treatment of the critically ill. It is used, for example, as part of the scoring systems for patients admitted to the intensive care unit (ICU) Together with cardiac arrest rates it has also been one of the most important ways of evaluating the impact of Rapid Response Systems (RRS). </w:t>
      </w:r>
    </w:p>
    <w:p w14:paraId="13A1BED4" w14:textId="77777777" w:rsidR="002B1CA4" w:rsidRPr="00724EDF" w:rsidRDefault="002B1CA4" w:rsidP="002B1CA4">
      <w:pPr>
        <w:widowControl w:val="0"/>
        <w:autoSpaceDE w:val="0"/>
        <w:autoSpaceDN w:val="0"/>
        <w:adjustRightInd w:val="0"/>
        <w:spacing w:after="0" w:line="360" w:lineRule="auto"/>
        <w:ind w:left="-709"/>
        <w:rPr>
          <w:rFonts w:ascii="Calibri" w:hAnsi="Calibri" w:cs="Calibri"/>
          <w:color w:val="191919"/>
          <w:sz w:val="24"/>
          <w:szCs w:val="24"/>
          <w:vertAlign w:val="superscript"/>
          <w:lang w:val="en-US"/>
        </w:rPr>
      </w:pPr>
      <w:r w:rsidRPr="00724EDF">
        <w:rPr>
          <w:rFonts w:ascii="Calibri" w:hAnsi="Calibri" w:cs="Calibri"/>
          <w:color w:val="191919"/>
          <w:sz w:val="24"/>
          <w:szCs w:val="24"/>
          <w:lang w:val="en-US"/>
        </w:rPr>
        <w:t xml:space="preserve">Over the last decade or so, there has been a decrease in the mortality of many diseases managed in the ICU </w:t>
      </w:r>
      <w:r w:rsidRPr="00724EDF">
        <w:rPr>
          <w:rFonts w:ascii="Calibri" w:hAnsi="Calibri" w:cs="Calibri"/>
          <w:color w:val="191919"/>
          <w:sz w:val="24"/>
          <w:szCs w:val="24"/>
          <w:vertAlign w:val="superscript"/>
          <w:lang w:val="en-US"/>
        </w:rPr>
        <w:t xml:space="preserve">(1,2,3,4).  </w:t>
      </w:r>
    </w:p>
    <w:p w14:paraId="3F228DA1" w14:textId="77777777" w:rsidR="002B1CA4" w:rsidRPr="00724EDF" w:rsidRDefault="002B1CA4" w:rsidP="002B1CA4">
      <w:pPr>
        <w:widowControl w:val="0"/>
        <w:autoSpaceDE w:val="0"/>
        <w:autoSpaceDN w:val="0"/>
        <w:adjustRightInd w:val="0"/>
        <w:spacing w:after="0" w:line="360" w:lineRule="auto"/>
        <w:ind w:left="-709"/>
        <w:rPr>
          <w:rFonts w:ascii="Calibri" w:hAnsi="Calibri" w:cs="Calibri"/>
          <w:color w:val="191919"/>
          <w:sz w:val="24"/>
          <w:szCs w:val="24"/>
          <w:lang w:val="en-US"/>
        </w:rPr>
      </w:pPr>
      <w:r w:rsidRPr="00724EDF">
        <w:rPr>
          <w:rFonts w:ascii="Calibri" w:hAnsi="Calibri" w:cs="Calibri"/>
          <w:color w:val="191919"/>
          <w:sz w:val="24"/>
          <w:szCs w:val="24"/>
          <w:lang w:val="en-US"/>
        </w:rPr>
        <w:t xml:space="preserve">However, over the last decade, there is increasing awareness about the sobering picture concerning longer term outcomes after management in intensive care </w:t>
      </w:r>
      <w:r w:rsidRPr="00724EDF">
        <w:rPr>
          <w:rFonts w:ascii="Calibri" w:hAnsi="Calibri" w:cs="Calibri"/>
          <w:color w:val="191919"/>
          <w:sz w:val="24"/>
          <w:szCs w:val="24"/>
          <w:vertAlign w:val="superscript"/>
          <w:lang w:val="en-US"/>
        </w:rPr>
        <w:t xml:space="preserve">(5-11) </w:t>
      </w:r>
      <w:r w:rsidRPr="00724EDF">
        <w:rPr>
          <w:rFonts w:ascii="Calibri" w:hAnsi="Calibri" w:cs="Calibri"/>
          <w:color w:val="191919"/>
          <w:sz w:val="24"/>
          <w:szCs w:val="24"/>
          <w:lang w:val="en-US"/>
        </w:rPr>
        <w:t xml:space="preserve">Many patients have died by 12 months and an large number have suffered post-intensive care syndrome </w:t>
      </w:r>
      <w:r w:rsidRPr="00724EDF">
        <w:rPr>
          <w:rFonts w:ascii="Calibri" w:hAnsi="Calibri" w:cs="Calibri"/>
          <w:color w:val="191919"/>
          <w:sz w:val="24"/>
          <w:szCs w:val="24"/>
          <w:vertAlign w:val="superscript"/>
          <w:lang w:val="en-US"/>
        </w:rPr>
        <w:t>(12),</w:t>
      </w:r>
      <w:r w:rsidRPr="00724EDF">
        <w:rPr>
          <w:rFonts w:ascii="Calibri" w:hAnsi="Calibri" w:cs="Calibri"/>
          <w:color w:val="191919"/>
          <w:sz w:val="24"/>
          <w:szCs w:val="24"/>
          <w:lang w:val="en-US"/>
        </w:rPr>
        <w:t xml:space="preserve"> including weakness and psychological symptoms equivalent to post traumatic stress syndrome.</w:t>
      </w:r>
    </w:p>
    <w:p w14:paraId="2BA01F53" w14:textId="77777777" w:rsidR="002B1CA4" w:rsidRPr="00724EDF" w:rsidRDefault="002B1CA4" w:rsidP="002B1CA4">
      <w:pPr>
        <w:widowControl w:val="0"/>
        <w:autoSpaceDE w:val="0"/>
        <w:autoSpaceDN w:val="0"/>
        <w:adjustRightInd w:val="0"/>
        <w:spacing w:after="0" w:line="360" w:lineRule="auto"/>
        <w:ind w:left="-709"/>
        <w:rPr>
          <w:rFonts w:ascii="Calibri" w:hAnsi="Calibri" w:cs="Calibri"/>
          <w:b/>
          <w:color w:val="191919"/>
          <w:sz w:val="24"/>
          <w:szCs w:val="24"/>
          <w:lang w:val="en-US"/>
        </w:rPr>
      </w:pPr>
      <w:r w:rsidRPr="00724EDF">
        <w:rPr>
          <w:rFonts w:ascii="Calibri" w:hAnsi="Calibri" w:cs="Calibri"/>
          <w:b/>
          <w:color w:val="191919"/>
          <w:sz w:val="24"/>
          <w:szCs w:val="24"/>
          <w:lang w:val="en-US"/>
        </w:rPr>
        <w:t xml:space="preserve">Implications for patients who experience a rapid response system (RRS) call in acute hospital. </w:t>
      </w:r>
    </w:p>
    <w:p w14:paraId="38DE71B8" w14:textId="77777777" w:rsidR="002B1CA4" w:rsidRPr="00724EDF" w:rsidRDefault="002B1CA4" w:rsidP="002B1CA4">
      <w:pPr>
        <w:widowControl w:val="0"/>
        <w:autoSpaceDE w:val="0"/>
        <w:autoSpaceDN w:val="0"/>
        <w:adjustRightInd w:val="0"/>
        <w:spacing w:after="0" w:line="360" w:lineRule="auto"/>
        <w:ind w:left="-709"/>
        <w:rPr>
          <w:rFonts w:ascii="Calibri" w:hAnsi="Calibri" w:cs="Calibri"/>
          <w:color w:val="191919"/>
          <w:sz w:val="24"/>
          <w:szCs w:val="24"/>
          <w:lang w:val="en-US"/>
        </w:rPr>
      </w:pPr>
      <w:r w:rsidRPr="00724EDF">
        <w:rPr>
          <w:rFonts w:ascii="Calibri" w:hAnsi="Calibri" w:cs="Calibri"/>
          <w:color w:val="191919"/>
          <w:sz w:val="24"/>
          <w:szCs w:val="24"/>
          <w:lang w:val="en-US"/>
        </w:rPr>
        <w:t xml:space="preserve">Many patients who are the subject of RRS calls are also critically ill. So far, as with most measures of patient outcome in hospitalized patients we have tended to measure the effectiveness of RRSs using hospital mortality as an </w:t>
      </w:r>
      <w:proofErr w:type="spellStart"/>
      <w:r w:rsidRPr="00724EDF">
        <w:rPr>
          <w:rFonts w:ascii="Calibri" w:hAnsi="Calibri" w:cs="Calibri"/>
          <w:color w:val="191919"/>
          <w:sz w:val="24"/>
          <w:szCs w:val="24"/>
          <w:lang w:val="en-US"/>
        </w:rPr>
        <w:t>importand</w:t>
      </w:r>
      <w:proofErr w:type="spellEnd"/>
      <w:r w:rsidRPr="00724EDF">
        <w:rPr>
          <w:rFonts w:ascii="Calibri" w:hAnsi="Calibri" w:cs="Calibri"/>
          <w:color w:val="191919"/>
          <w:sz w:val="24"/>
          <w:szCs w:val="24"/>
          <w:lang w:val="en-US"/>
        </w:rPr>
        <w:t xml:space="preserve"> outcome. It may be that, as with critically ill patients admitted to intensive care, we also need to examine the post-hospital mortality as well as post-hospital quality of life in order to gain more insight into the type of patients where a rapid response call is most effective. As with patients admitted to the ICU, it could be that, as well as identifying a seriously ill patient with an acute condition that is potentially reversible, we are also identifying older patients with multiple co-morbidities who are near the end of life. In which case we may need to identify these </w:t>
      </w:r>
      <w:proofErr w:type="gramStart"/>
      <w:r w:rsidRPr="00724EDF">
        <w:rPr>
          <w:rFonts w:ascii="Calibri" w:hAnsi="Calibri" w:cs="Calibri"/>
          <w:color w:val="191919"/>
          <w:sz w:val="24"/>
          <w:szCs w:val="24"/>
          <w:lang w:val="en-US"/>
        </w:rPr>
        <w:t>patients</w:t>
      </w:r>
      <w:proofErr w:type="gramEnd"/>
      <w:r w:rsidRPr="00724EDF">
        <w:rPr>
          <w:rFonts w:ascii="Calibri" w:hAnsi="Calibri" w:cs="Calibri"/>
          <w:color w:val="191919"/>
          <w:sz w:val="24"/>
          <w:szCs w:val="24"/>
          <w:lang w:val="en-US"/>
        </w:rPr>
        <w:t xml:space="preserve"> in order to consider a different management strategy that would, of course, include honest and empathetic discussions with the patient and their </w:t>
      </w:r>
      <w:r w:rsidR="00724EDF" w:rsidRPr="00724EDF">
        <w:rPr>
          <w:rFonts w:ascii="Calibri" w:hAnsi="Calibri" w:cs="Calibri"/>
          <w:color w:val="191919"/>
          <w:sz w:val="24"/>
          <w:szCs w:val="24"/>
          <w:lang w:val="en-US"/>
        </w:rPr>
        <w:t>careers</w:t>
      </w:r>
      <w:r w:rsidRPr="00724EDF">
        <w:rPr>
          <w:rFonts w:ascii="Calibri" w:hAnsi="Calibri" w:cs="Calibri"/>
          <w:color w:val="191919"/>
          <w:sz w:val="24"/>
          <w:szCs w:val="24"/>
          <w:lang w:val="en-US"/>
        </w:rPr>
        <w:t xml:space="preserve">. </w:t>
      </w:r>
    </w:p>
    <w:p w14:paraId="48BD6D05" w14:textId="77777777" w:rsidR="002B1CA4" w:rsidRPr="00724EDF" w:rsidRDefault="002B1CA4" w:rsidP="002B1CA4">
      <w:pPr>
        <w:widowControl w:val="0"/>
        <w:autoSpaceDE w:val="0"/>
        <w:autoSpaceDN w:val="0"/>
        <w:adjustRightInd w:val="0"/>
        <w:spacing w:after="0" w:line="360" w:lineRule="auto"/>
        <w:ind w:left="-709"/>
        <w:rPr>
          <w:rFonts w:ascii="Calibri" w:hAnsi="Calibri" w:cs="Calibri"/>
          <w:color w:val="191919"/>
          <w:sz w:val="24"/>
          <w:szCs w:val="24"/>
          <w:lang w:val="en-US"/>
        </w:rPr>
      </w:pPr>
      <w:r w:rsidRPr="00724EDF">
        <w:rPr>
          <w:rFonts w:ascii="Calibri" w:hAnsi="Calibri" w:cs="Calibri"/>
          <w:color w:val="191919"/>
          <w:sz w:val="24"/>
          <w:szCs w:val="24"/>
          <w:lang w:val="en-US"/>
        </w:rPr>
        <w:t xml:space="preserve">Already up to one third of all RRS calls are related to end of life issues </w:t>
      </w:r>
      <w:r w:rsidRPr="00724EDF">
        <w:rPr>
          <w:rFonts w:ascii="Calibri" w:hAnsi="Calibri" w:cs="Calibri"/>
          <w:color w:val="191919"/>
          <w:sz w:val="24"/>
          <w:szCs w:val="24"/>
          <w:vertAlign w:val="superscript"/>
          <w:lang w:val="en-US"/>
        </w:rPr>
        <w:t>(13)</w:t>
      </w:r>
      <w:r w:rsidRPr="00724EDF">
        <w:rPr>
          <w:rFonts w:ascii="Calibri" w:hAnsi="Calibri" w:cs="Calibri"/>
          <w:color w:val="191919"/>
          <w:sz w:val="24"/>
          <w:szCs w:val="24"/>
          <w:lang w:val="en-US"/>
        </w:rPr>
        <w:t xml:space="preserve"> </w:t>
      </w:r>
      <w:proofErr w:type="gramStart"/>
      <w:r w:rsidRPr="00724EDF">
        <w:rPr>
          <w:rFonts w:ascii="Calibri" w:hAnsi="Calibri" w:cs="Calibri"/>
          <w:color w:val="191919"/>
          <w:sz w:val="24"/>
          <w:szCs w:val="24"/>
          <w:lang w:val="en-US"/>
        </w:rPr>
        <w:t>These</w:t>
      </w:r>
      <w:proofErr w:type="gramEnd"/>
      <w:r w:rsidRPr="00724EDF">
        <w:rPr>
          <w:rFonts w:ascii="Calibri" w:hAnsi="Calibri" w:cs="Calibri"/>
          <w:color w:val="191919"/>
          <w:sz w:val="24"/>
          <w:szCs w:val="24"/>
          <w:lang w:val="en-US"/>
        </w:rPr>
        <w:t xml:space="preserve"> are usually patients where end of life is obvious and more imminent. It could be that the RRS could also identify patients who, even if successfully resuscitated, may have a high mortality and poor quality of life after discharge from hospital.</w:t>
      </w:r>
    </w:p>
    <w:p w14:paraId="260C361B" w14:textId="77777777" w:rsidR="00724EDF" w:rsidRDefault="00724EDF">
      <w:pPr>
        <w:rPr>
          <w:rFonts w:ascii="Calibri" w:hAnsi="Calibri" w:cs="Calibri"/>
          <w:color w:val="191919"/>
          <w:sz w:val="24"/>
          <w:szCs w:val="24"/>
          <w:lang w:val="en-US"/>
        </w:rPr>
      </w:pPr>
      <w:r>
        <w:rPr>
          <w:rFonts w:ascii="Calibri" w:hAnsi="Calibri" w:cs="Calibri"/>
          <w:color w:val="191919"/>
          <w:sz w:val="24"/>
          <w:szCs w:val="24"/>
          <w:lang w:val="en-US"/>
        </w:rPr>
        <w:br w:type="page"/>
      </w:r>
    </w:p>
    <w:p w14:paraId="3D8462C1" w14:textId="77777777" w:rsidR="002B1CA4" w:rsidRPr="00724EDF" w:rsidRDefault="002B1CA4" w:rsidP="002B1CA4">
      <w:pPr>
        <w:widowControl w:val="0"/>
        <w:autoSpaceDE w:val="0"/>
        <w:autoSpaceDN w:val="0"/>
        <w:adjustRightInd w:val="0"/>
        <w:spacing w:after="0" w:line="360" w:lineRule="auto"/>
        <w:ind w:left="-709"/>
        <w:rPr>
          <w:rFonts w:ascii="Calibri" w:hAnsi="Calibri" w:cs="Calibri"/>
          <w:color w:val="191919"/>
          <w:sz w:val="24"/>
          <w:szCs w:val="24"/>
          <w:lang w:val="en-US"/>
        </w:rPr>
      </w:pPr>
    </w:p>
    <w:p w14:paraId="1ACD61C1" w14:textId="77777777" w:rsidR="002B1CA4" w:rsidRPr="00724EDF" w:rsidRDefault="002B1CA4" w:rsidP="00724EDF">
      <w:pPr>
        <w:widowControl w:val="0"/>
        <w:autoSpaceDE w:val="0"/>
        <w:autoSpaceDN w:val="0"/>
        <w:adjustRightInd w:val="0"/>
        <w:spacing w:after="120"/>
        <w:ind w:left="-709"/>
        <w:rPr>
          <w:rFonts w:ascii="Calibri" w:hAnsi="Calibri" w:cs="Calibri"/>
          <w:color w:val="191919"/>
          <w:sz w:val="24"/>
          <w:szCs w:val="24"/>
          <w:lang w:val="en-US"/>
        </w:rPr>
      </w:pPr>
      <w:r w:rsidRPr="00724EDF">
        <w:rPr>
          <w:rFonts w:ascii="Calibri" w:hAnsi="Calibri" w:cs="Calibri"/>
          <w:color w:val="191919"/>
          <w:sz w:val="24"/>
          <w:szCs w:val="24"/>
          <w:lang w:val="en-US"/>
        </w:rPr>
        <w:t xml:space="preserve">REFERENCES  </w:t>
      </w:r>
    </w:p>
    <w:p w14:paraId="542BE235" w14:textId="77777777" w:rsidR="002B1CA4" w:rsidRPr="00724EDF" w:rsidRDefault="002B1CA4" w:rsidP="00724EDF">
      <w:pPr>
        <w:widowControl w:val="0"/>
        <w:autoSpaceDE w:val="0"/>
        <w:autoSpaceDN w:val="0"/>
        <w:adjustRightInd w:val="0"/>
        <w:spacing w:after="120"/>
        <w:ind w:left="-709"/>
        <w:rPr>
          <w:rFonts w:cs="Helvetica"/>
          <w:sz w:val="24"/>
          <w:szCs w:val="24"/>
          <w:lang w:val="en-US"/>
        </w:rPr>
      </w:pPr>
      <w:r w:rsidRPr="00724EDF">
        <w:rPr>
          <w:rFonts w:cs="Helvetica"/>
          <w:sz w:val="24"/>
          <w:szCs w:val="24"/>
          <w:lang w:val="en-US"/>
        </w:rPr>
        <w:t xml:space="preserve">1. </w:t>
      </w:r>
      <w:proofErr w:type="spellStart"/>
      <w:r w:rsidRPr="00724EDF">
        <w:rPr>
          <w:rFonts w:cs="Helvetica"/>
          <w:sz w:val="24"/>
          <w:szCs w:val="24"/>
          <w:lang w:val="en-US"/>
        </w:rPr>
        <w:t>CuschieriJ</w:t>
      </w:r>
      <w:proofErr w:type="spellEnd"/>
      <w:r w:rsidRPr="00724EDF">
        <w:rPr>
          <w:rFonts w:cs="Helvetica"/>
          <w:sz w:val="24"/>
          <w:szCs w:val="24"/>
          <w:lang w:val="en-US"/>
        </w:rPr>
        <w:t xml:space="preserve">, Johnson JL, </w:t>
      </w:r>
      <w:proofErr w:type="spellStart"/>
      <w:proofErr w:type="gramStart"/>
      <w:r w:rsidRPr="00724EDF">
        <w:rPr>
          <w:rFonts w:cs="Helvetica"/>
          <w:sz w:val="24"/>
          <w:szCs w:val="24"/>
          <w:lang w:val="en-US"/>
        </w:rPr>
        <w:t>sperry</w:t>
      </w:r>
      <w:proofErr w:type="spellEnd"/>
      <w:proofErr w:type="gramEnd"/>
      <w:r w:rsidRPr="00724EDF">
        <w:rPr>
          <w:rFonts w:cs="Helvetica"/>
          <w:sz w:val="24"/>
          <w:szCs w:val="24"/>
          <w:lang w:val="en-US"/>
        </w:rPr>
        <w:t xml:space="preserve"> J, et al. Benchmarking outcomes in the critically injured trauma patient and the effect of implementing standard operating procedures. Ann </w:t>
      </w:r>
      <w:proofErr w:type="spellStart"/>
      <w:r w:rsidRPr="00724EDF">
        <w:rPr>
          <w:rFonts w:cs="Helvetica"/>
          <w:sz w:val="24"/>
          <w:szCs w:val="24"/>
          <w:lang w:val="en-US"/>
        </w:rPr>
        <w:t>Surg</w:t>
      </w:r>
      <w:proofErr w:type="spellEnd"/>
      <w:r w:rsidRPr="00724EDF">
        <w:rPr>
          <w:rFonts w:cs="Helvetica"/>
          <w:sz w:val="24"/>
          <w:szCs w:val="24"/>
          <w:lang w:val="en-US"/>
        </w:rPr>
        <w:t xml:space="preserve"> 2012</w:t>
      </w:r>
      <w:proofErr w:type="gramStart"/>
      <w:r w:rsidRPr="00724EDF">
        <w:rPr>
          <w:rFonts w:cs="Helvetica"/>
          <w:sz w:val="24"/>
          <w:szCs w:val="24"/>
          <w:lang w:val="en-US"/>
        </w:rPr>
        <w:t>;255</w:t>
      </w:r>
      <w:proofErr w:type="gramEnd"/>
      <w:r w:rsidRPr="00724EDF">
        <w:rPr>
          <w:rFonts w:cs="Helvetica"/>
          <w:sz w:val="24"/>
          <w:szCs w:val="24"/>
          <w:lang w:val="en-US"/>
        </w:rPr>
        <w:t xml:space="preserve">(5):993-999. </w:t>
      </w:r>
    </w:p>
    <w:p w14:paraId="3291F4D4" w14:textId="77777777" w:rsidR="002B1CA4" w:rsidRPr="00724EDF" w:rsidRDefault="002B1CA4" w:rsidP="00724EDF">
      <w:pPr>
        <w:widowControl w:val="0"/>
        <w:autoSpaceDE w:val="0"/>
        <w:autoSpaceDN w:val="0"/>
        <w:adjustRightInd w:val="0"/>
        <w:spacing w:after="120"/>
        <w:ind w:left="-709"/>
        <w:rPr>
          <w:rFonts w:cs="Helvetica"/>
          <w:sz w:val="24"/>
          <w:szCs w:val="24"/>
          <w:lang w:val="en-US"/>
        </w:rPr>
      </w:pPr>
      <w:r w:rsidRPr="00724EDF">
        <w:rPr>
          <w:rFonts w:cs="Helvetica"/>
          <w:sz w:val="24"/>
          <w:szCs w:val="24"/>
          <w:lang w:val="en-US"/>
        </w:rPr>
        <w:t xml:space="preserve">2. Mira JC, </w:t>
      </w:r>
      <w:proofErr w:type="spellStart"/>
      <w:r w:rsidRPr="00724EDF">
        <w:rPr>
          <w:rFonts w:cs="Helvetica"/>
          <w:sz w:val="24"/>
          <w:szCs w:val="24"/>
          <w:lang w:val="en-US"/>
        </w:rPr>
        <w:t>Cuschieri</w:t>
      </w:r>
      <w:proofErr w:type="spellEnd"/>
      <w:r w:rsidRPr="00724EDF">
        <w:rPr>
          <w:rFonts w:cs="Helvetica"/>
          <w:sz w:val="24"/>
          <w:szCs w:val="24"/>
          <w:lang w:val="en-US"/>
        </w:rPr>
        <w:t xml:space="preserve"> J, </w:t>
      </w:r>
      <w:proofErr w:type="spellStart"/>
      <w:r w:rsidRPr="00724EDF">
        <w:rPr>
          <w:rFonts w:cs="Helvetica"/>
          <w:sz w:val="24"/>
          <w:szCs w:val="24"/>
          <w:lang w:val="en-US"/>
        </w:rPr>
        <w:t>Ozrazgat-Balanti</w:t>
      </w:r>
      <w:proofErr w:type="spellEnd"/>
      <w:r w:rsidRPr="00724EDF">
        <w:rPr>
          <w:rFonts w:cs="Helvetica"/>
          <w:sz w:val="24"/>
          <w:szCs w:val="24"/>
          <w:lang w:val="en-US"/>
        </w:rPr>
        <w:t xml:space="preserve"> T, et al. The epidemiology of chronic critical illness after severe traumatic injury at two-level </w:t>
      </w:r>
      <w:proofErr w:type="gramStart"/>
      <w:r w:rsidRPr="00724EDF">
        <w:rPr>
          <w:rFonts w:cs="Helvetica"/>
          <w:sz w:val="24"/>
          <w:szCs w:val="24"/>
          <w:lang w:val="en-US"/>
        </w:rPr>
        <w:t>one trauma</w:t>
      </w:r>
      <w:proofErr w:type="gramEnd"/>
      <w:r w:rsidRPr="00724EDF">
        <w:rPr>
          <w:rFonts w:cs="Helvetica"/>
          <w:sz w:val="24"/>
          <w:szCs w:val="24"/>
          <w:lang w:val="en-US"/>
        </w:rPr>
        <w:t xml:space="preserve"> centers. </w:t>
      </w:r>
      <w:proofErr w:type="spellStart"/>
      <w:r w:rsidRPr="00724EDF">
        <w:rPr>
          <w:rFonts w:cs="Helvetica"/>
          <w:sz w:val="24"/>
          <w:szCs w:val="24"/>
          <w:lang w:val="en-US"/>
        </w:rPr>
        <w:t>Crit</w:t>
      </w:r>
      <w:proofErr w:type="spellEnd"/>
      <w:r w:rsidRPr="00724EDF">
        <w:rPr>
          <w:rFonts w:cs="Helvetica"/>
          <w:sz w:val="24"/>
          <w:szCs w:val="24"/>
          <w:lang w:val="en-US"/>
        </w:rPr>
        <w:t xml:space="preserve"> Care Med 2017</w:t>
      </w:r>
      <w:proofErr w:type="gramStart"/>
      <w:r w:rsidRPr="00724EDF">
        <w:rPr>
          <w:rFonts w:cs="Helvetica"/>
          <w:sz w:val="24"/>
          <w:szCs w:val="24"/>
          <w:lang w:val="en-US"/>
        </w:rPr>
        <w:t>;45</w:t>
      </w:r>
      <w:proofErr w:type="gramEnd"/>
      <w:r w:rsidRPr="00724EDF">
        <w:rPr>
          <w:rFonts w:cs="Helvetica"/>
          <w:sz w:val="24"/>
          <w:szCs w:val="24"/>
          <w:lang w:val="en-US"/>
        </w:rPr>
        <w:t xml:space="preserve">(12):1989-1996. </w:t>
      </w:r>
    </w:p>
    <w:p w14:paraId="246A403C" w14:textId="77777777" w:rsidR="002B1CA4" w:rsidRPr="00724EDF" w:rsidRDefault="002B1CA4" w:rsidP="00724EDF">
      <w:pPr>
        <w:widowControl w:val="0"/>
        <w:autoSpaceDE w:val="0"/>
        <w:autoSpaceDN w:val="0"/>
        <w:adjustRightInd w:val="0"/>
        <w:spacing w:after="120"/>
        <w:ind w:left="-709"/>
        <w:rPr>
          <w:rFonts w:cs="Helvetica"/>
          <w:sz w:val="24"/>
          <w:szCs w:val="24"/>
          <w:lang w:val="en-US"/>
        </w:rPr>
      </w:pPr>
      <w:r w:rsidRPr="00724EDF">
        <w:rPr>
          <w:rFonts w:cs="Helvetica"/>
          <w:sz w:val="24"/>
          <w:szCs w:val="24"/>
          <w:lang w:val="en-US"/>
        </w:rPr>
        <w:t xml:space="preserve">3 Mira JC, Gentile LF, Mathias BJ, et al. Sepsis pathophysiology, chronic critical illness, and persistent inflammation-immunosuppression and catabolism syndrome. </w:t>
      </w:r>
      <w:proofErr w:type="spellStart"/>
      <w:r w:rsidRPr="00724EDF">
        <w:rPr>
          <w:rFonts w:cs="Helvetica"/>
          <w:sz w:val="24"/>
          <w:szCs w:val="24"/>
          <w:lang w:val="en-US"/>
        </w:rPr>
        <w:t>Crit</w:t>
      </w:r>
      <w:proofErr w:type="spellEnd"/>
      <w:r w:rsidRPr="00724EDF">
        <w:rPr>
          <w:rFonts w:cs="Helvetica"/>
          <w:sz w:val="24"/>
          <w:szCs w:val="24"/>
          <w:lang w:val="en-US"/>
        </w:rPr>
        <w:t xml:space="preserve"> Care Med 2017</w:t>
      </w:r>
      <w:proofErr w:type="gramStart"/>
      <w:r w:rsidRPr="00724EDF">
        <w:rPr>
          <w:rFonts w:cs="Helvetica"/>
          <w:sz w:val="24"/>
          <w:szCs w:val="24"/>
          <w:lang w:val="en-US"/>
        </w:rPr>
        <w:t>;452</w:t>
      </w:r>
      <w:proofErr w:type="gramEnd"/>
      <w:r w:rsidRPr="00724EDF">
        <w:rPr>
          <w:rFonts w:cs="Helvetica"/>
          <w:sz w:val="24"/>
          <w:szCs w:val="24"/>
          <w:lang w:val="en-US"/>
        </w:rPr>
        <w:t>(2):253-262.</w:t>
      </w:r>
    </w:p>
    <w:p w14:paraId="1B2F01C2" w14:textId="77777777" w:rsidR="002B1CA4" w:rsidRPr="00724EDF" w:rsidRDefault="002B1CA4" w:rsidP="00724EDF">
      <w:pPr>
        <w:spacing w:after="120"/>
        <w:ind w:left="-709"/>
        <w:jc w:val="both"/>
        <w:rPr>
          <w:sz w:val="24"/>
          <w:szCs w:val="24"/>
        </w:rPr>
      </w:pPr>
      <w:r w:rsidRPr="00724EDF">
        <w:rPr>
          <w:sz w:val="24"/>
          <w:szCs w:val="24"/>
        </w:rPr>
        <w:t xml:space="preserve">4. Rowe T, </w:t>
      </w:r>
      <w:proofErr w:type="spellStart"/>
      <w:r w:rsidRPr="00724EDF">
        <w:rPr>
          <w:sz w:val="24"/>
          <w:szCs w:val="24"/>
        </w:rPr>
        <w:t>Araujo</w:t>
      </w:r>
      <w:proofErr w:type="spellEnd"/>
      <w:r w:rsidRPr="00724EDF">
        <w:rPr>
          <w:sz w:val="24"/>
          <w:szCs w:val="24"/>
        </w:rPr>
        <w:t xml:space="preserve"> KLB, Van Ness PH, et al. Outcomes of older adults with sepsis at admission to an intensive care unit. Open Forum Infectious Diseases 2016; 3(1):ofw010. </w:t>
      </w:r>
      <w:hyperlink r:id="rId5" w:history="1">
        <w:r w:rsidRPr="00724EDF">
          <w:rPr>
            <w:rStyle w:val="Hyperlink"/>
            <w:sz w:val="24"/>
            <w:szCs w:val="24"/>
          </w:rPr>
          <w:t>http://doi.</w:t>
        </w:r>
        <w:r w:rsidRPr="00724EDF">
          <w:rPr>
            <w:rStyle w:val="Hyperlink"/>
            <w:sz w:val="24"/>
            <w:szCs w:val="24"/>
          </w:rPr>
          <w:t>o</w:t>
        </w:r>
        <w:r w:rsidRPr="00724EDF">
          <w:rPr>
            <w:rStyle w:val="Hyperlink"/>
            <w:sz w:val="24"/>
            <w:szCs w:val="24"/>
          </w:rPr>
          <w:t>rg/10.1093/ofid/ofw010</w:t>
        </w:r>
      </w:hyperlink>
    </w:p>
    <w:p w14:paraId="75633FA6" w14:textId="77777777" w:rsidR="002B1CA4" w:rsidRPr="00724EDF" w:rsidRDefault="002B1CA4" w:rsidP="00724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09"/>
        <w:rPr>
          <w:rFonts w:cs="Helvetica"/>
          <w:sz w:val="24"/>
          <w:szCs w:val="24"/>
          <w:lang w:val="en-US"/>
        </w:rPr>
      </w:pPr>
      <w:r w:rsidRPr="00724EDF">
        <w:rPr>
          <w:rFonts w:cs="Helvetica"/>
          <w:sz w:val="24"/>
          <w:szCs w:val="24"/>
          <w:lang w:val="en-US"/>
        </w:rPr>
        <w:t>5.Dinglas, Victor D et al Muscle Weakness and 5-Year Survival in Acute Respiratory Distress Syndrome Survivors Critical care medicine 2017</w:t>
      </w:r>
      <w:proofErr w:type="gramStart"/>
      <w:r w:rsidRPr="00724EDF">
        <w:rPr>
          <w:rFonts w:cs="Helvetica"/>
          <w:sz w:val="24"/>
          <w:szCs w:val="24"/>
          <w:lang w:val="en-US"/>
        </w:rPr>
        <w:t>;45</w:t>
      </w:r>
      <w:proofErr w:type="gramEnd"/>
      <w:r w:rsidRPr="00724EDF">
        <w:rPr>
          <w:rFonts w:cs="Helvetica"/>
          <w:sz w:val="24"/>
          <w:szCs w:val="24"/>
          <w:lang w:val="en-US"/>
        </w:rPr>
        <w:t>: 446-453</w:t>
      </w:r>
    </w:p>
    <w:p w14:paraId="7B8DAAC7" w14:textId="77777777" w:rsidR="002B1CA4" w:rsidRPr="00724EDF" w:rsidRDefault="002B1CA4" w:rsidP="00724EDF">
      <w:pPr>
        <w:widowControl w:val="0"/>
        <w:autoSpaceDE w:val="0"/>
        <w:autoSpaceDN w:val="0"/>
        <w:adjustRightInd w:val="0"/>
        <w:spacing w:after="120"/>
        <w:ind w:left="-709"/>
        <w:rPr>
          <w:rFonts w:cs="Helvetica"/>
          <w:sz w:val="24"/>
          <w:szCs w:val="24"/>
          <w:lang w:val="en-US"/>
        </w:rPr>
      </w:pPr>
      <w:r w:rsidRPr="00724EDF">
        <w:rPr>
          <w:rFonts w:cs="Helvetica"/>
          <w:sz w:val="24"/>
          <w:szCs w:val="24"/>
          <w:lang w:val="en-US"/>
        </w:rPr>
        <w:t xml:space="preserve">6.Ferrante, L. E., et al. (2015). "Functional trajectories among older persons before and after critical illness." </w:t>
      </w:r>
      <w:r w:rsidRPr="00724EDF">
        <w:rPr>
          <w:rFonts w:cs="Helvetica"/>
          <w:sz w:val="24"/>
          <w:szCs w:val="24"/>
          <w:u w:val="single"/>
          <w:lang w:val="en-US"/>
        </w:rPr>
        <w:t>JAMA Internal Medicine</w:t>
      </w:r>
      <w:r w:rsidRPr="00724EDF">
        <w:rPr>
          <w:rFonts w:cs="Helvetica"/>
          <w:sz w:val="24"/>
          <w:szCs w:val="24"/>
          <w:lang w:val="en-US"/>
        </w:rPr>
        <w:t xml:space="preserve"> </w:t>
      </w:r>
      <w:r w:rsidRPr="00724EDF">
        <w:rPr>
          <w:rFonts w:cs="Helvetica"/>
          <w:b/>
          <w:bCs/>
          <w:sz w:val="24"/>
          <w:szCs w:val="24"/>
          <w:lang w:val="en-US"/>
        </w:rPr>
        <w:t>175</w:t>
      </w:r>
      <w:r w:rsidRPr="00724EDF">
        <w:rPr>
          <w:rFonts w:cs="Helvetica"/>
          <w:sz w:val="24"/>
          <w:szCs w:val="24"/>
          <w:lang w:val="en-US"/>
        </w:rPr>
        <w:t>(4): 523-529.</w:t>
      </w:r>
    </w:p>
    <w:p w14:paraId="04DD8EA8" w14:textId="77777777" w:rsidR="002B1CA4" w:rsidRPr="00724EDF" w:rsidRDefault="002B1CA4" w:rsidP="00724EDF">
      <w:pPr>
        <w:widowControl w:val="0"/>
        <w:autoSpaceDE w:val="0"/>
        <w:autoSpaceDN w:val="0"/>
        <w:adjustRightInd w:val="0"/>
        <w:spacing w:after="120"/>
        <w:ind w:left="-709"/>
        <w:rPr>
          <w:rFonts w:cs="Helvetica"/>
          <w:sz w:val="24"/>
          <w:szCs w:val="24"/>
          <w:lang w:val="en-US"/>
        </w:rPr>
      </w:pPr>
      <w:r w:rsidRPr="00724EDF">
        <w:rPr>
          <w:rFonts w:cs="Helvetica"/>
          <w:sz w:val="24"/>
          <w:szCs w:val="24"/>
          <w:lang w:val="en-US"/>
        </w:rPr>
        <w:t xml:space="preserve">7.de </w:t>
      </w:r>
      <w:proofErr w:type="spellStart"/>
      <w:r w:rsidRPr="00724EDF">
        <w:rPr>
          <w:rFonts w:cs="Helvetica"/>
          <w:sz w:val="24"/>
          <w:szCs w:val="24"/>
          <w:lang w:val="en-US"/>
        </w:rPr>
        <w:t>Rooij</w:t>
      </w:r>
      <w:proofErr w:type="spellEnd"/>
      <w:r w:rsidRPr="00724EDF">
        <w:rPr>
          <w:rFonts w:cs="Helvetica"/>
          <w:sz w:val="24"/>
          <w:szCs w:val="24"/>
          <w:lang w:val="en-US"/>
        </w:rPr>
        <w:t xml:space="preserve">, S. E., et al. (2006). "Short-term and long-term mortality in very elderly patients admitted to an intensive care unit." </w:t>
      </w:r>
      <w:r w:rsidRPr="00724EDF">
        <w:rPr>
          <w:rFonts w:cs="Helvetica"/>
          <w:sz w:val="24"/>
          <w:szCs w:val="24"/>
          <w:u w:val="single"/>
          <w:lang w:val="en-US"/>
        </w:rPr>
        <w:t>Intensive Care Medicine</w:t>
      </w:r>
      <w:r w:rsidRPr="00724EDF">
        <w:rPr>
          <w:rFonts w:cs="Helvetica"/>
          <w:sz w:val="24"/>
          <w:szCs w:val="24"/>
          <w:lang w:val="en-US"/>
        </w:rPr>
        <w:t xml:space="preserve"> </w:t>
      </w:r>
      <w:r w:rsidRPr="00724EDF">
        <w:rPr>
          <w:rFonts w:cs="Helvetica"/>
          <w:b/>
          <w:bCs/>
          <w:sz w:val="24"/>
          <w:szCs w:val="24"/>
          <w:lang w:val="en-US"/>
        </w:rPr>
        <w:t>32</w:t>
      </w:r>
      <w:r w:rsidRPr="00724EDF">
        <w:rPr>
          <w:rFonts w:cs="Helvetica"/>
          <w:sz w:val="24"/>
          <w:szCs w:val="24"/>
          <w:lang w:val="en-US"/>
        </w:rPr>
        <w:t>(7): 1039-1044.</w:t>
      </w:r>
    </w:p>
    <w:p w14:paraId="42B667F9" w14:textId="77777777" w:rsidR="002B1CA4" w:rsidRPr="00724EDF" w:rsidRDefault="002B1CA4" w:rsidP="00724EDF">
      <w:pPr>
        <w:widowControl w:val="0"/>
        <w:autoSpaceDE w:val="0"/>
        <w:autoSpaceDN w:val="0"/>
        <w:adjustRightInd w:val="0"/>
        <w:spacing w:after="120"/>
        <w:ind w:left="-630"/>
        <w:rPr>
          <w:rFonts w:cs="Helvetica"/>
          <w:sz w:val="24"/>
          <w:szCs w:val="24"/>
          <w:lang w:val="en-US"/>
        </w:rPr>
      </w:pPr>
      <w:r w:rsidRPr="00724EDF">
        <w:rPr>
          <w:rFonts w:cs="Helvetica"/>
          <w:sz w:val="24"/>
          <w:szCs w:val="24"/>
          <w:lang w:val="en-US"/>
        </w:rPr>
        <w:t>8.Yende, S., et al. (2016). "Long-Term Quality of Life Among Survivors of</w:t>
      </w:r>
      <w:r w:rsidR="00724EDF">
        <w:rPr>
          <w:rFonts w:cs="Helvetica"/>
          <w:sz w:val="24"/>
          <w:szCs w:val="24"/>
          <w:lang w:val="en-US"/>
        </w:rPr>
        <w:t xml:space="preserve"> Severe Sepsis: Analyses of Two </w:t>
      </w:r>
      <w:r w:rsidRPr="00724EDF">
        <w:rPr>
          <w:rFonts w:cs="Helvetica"/>
          <w:sz w:val="24"/>
          <w:szCs w:val="24"/>
          <w:lang w:val="en-US"/>
        </w:rPr>
        <w:t xml:space="preserve">International Trials." </w:t>
      </w:r>
      <w:proofErr w:type="gramStart"/>
      <w:r w:rsidRPr="00724EDF">
        <w:rPr>
          <w:rFonts w:cs="Helvetica"/>
          <w:sz w:val="24"/>
          <w:szCs w:val="24"/>
          <w:u w:val="single"/>
          <w:lang w:val="en-US"/>
        </w:rPr>
        <w:t>Critical Care Medicine</w:t>
      </w:r>
      <w:r w:rsidRPr="00724EDF">
        <w:rPr>
          <w:rFonts w:cs="Helvetica"/>
          <w:sz w:val="24"/>
          <w:szCs w:val="24"/>
          <w:lang w:val="en-US"/>
        </w:rPr>
        <w:t>.</w:t>
      </w:r>
      <w:proofErr w:type="gramEnd"/>
    </w:p>
    <w:p w14:paraId="6ABF83FC" w14:textId="77777777" w:rsidR="002B1CA4" w:rsidRPr="00724EDF" w:rsidRDefault="002B1CA4" w:rsidP="00724EDF">
      <w:pPr>
        <w:pStyle w:val="ListParagraph"/>
        <w:spacing w:after="120" w:line="240" w:lineRule="auto"/>
        <w:ind w:left="142" w:hanging="851"/>
        <w:jc w:val="both"/>
        <w:rPr>
          <w:rFonts w:asciiTheme="majorHAnsi" w:hAnsiTheme="majorHAnsi"/>
          <w:sz w:val="24"/>
          <w:szCs w:val="24"/>
        </w:rPr>
      </w:pPr>
      <w:r w:rsidRPr="00724EDF">
        <w:rPr>
          <w:rFonts w:asciiTheme="majorHAnsi" w:hAnsiTheme="majorHAnsi"/>
          <w:sz w:val="24"/>
          <w:szCs w:val="24"/>
        </w:rPr>
        <w:t xml:space="preserve">9.Hill AD, Fowler RA, Pinto R, et al.  Long-term outcomes and healthcare utilization following critical illness – a population based study.  </w:t>
      </w:r>
      <w:proofErr w:type="spellStart"/>
      <w:r w:rsidRPr="00724EDF">
        <w:rPr>
          <w:rFonts w:asciiTheme="majorHAnsi" w:hAnsiTheme="majorHAnsi"/>
          <w:sz w:val="24"/>
          <w:szCs w:val="24"/>
        </w:rPr>
        <w:t>Crit</w:t>
      </w:r>
      <w:proofErr w:type="spellEnd"/>
      <w:r w:rsidRPr="00724EDF">
        <w:rPr>
          <w:rFonts w:asciiTheme="majorHAnsi" w:hAnsiTheme="majorHAnsi"/>
          <w:sz w:val="24"/>
          <w:szCs w:val="24"/>
        </w:rPr>
        <w:t xml:space="preserve"> Care 2016; 20:76.</w:t>
      </w:r>
    </w:p>
    <w:p w14:paraId="50375428" w14:textId="77777777" w:rsidR="002B1CA4" w:rsidRPr="00724EDF" w:rsidRDefault="002B1CA4" w:rsidP="00724EDF">
      <w:pPr>
        <w:pStyle w:val="ListParagraph"/>
        <w:spacing w:after="120" w:line="240" w:lineRule="auto"/>
        <w:ind w:left="142" w:hanging="851"/>
        <w:jc w:val="both"/>
        <w:rPr>
          <w:rFonts w:asciiTheme="majorHAnsi" w:hAnsiTheme="majorHAnsi"/>
          <w:sz w:val="24"/>
          <w:szCs w:val="24"/>
        </w:rPr>
      </w:pPr>
      <w:r w:rsidRPr="00724EDF">
        <w:rPr>
          <w:rFonts w:asciiTheme="majorHAnsi" w:hAnsiTheme="majorHAnsi"/>
          <w:sz w:val="24"/>
          <w:szCs w:val="24"/>
        </w:rPr>
        <w:t xml:space="preserve">10 </w:t>
      </w:r>
      <w:proofErr w:type="spellStart"/>
      <w:r w:rsidRPr="00724EDF">
        <w:rPr>
          <w:rFonts w:asciiTheme="majorHAnsi" w:hAnsiTheme="majorHAnsi"/>
          <w:sz w:val="24"/>
          <w:szCs w:val="24"/>
        </w:rPr>
        <w:t>Heyland</w:t>
      </w:r>
      <w:proofErr w:type="spellEnd"/>
      <w:r w:rsidRPr="00724EDF">
        <w:rPr>
          <w:rFonts w:asciiTheme="majorHAnsi" w:hAnsiTheme="majorHAnsi"/>
          <w:sz w:val="24"/>
          <w:szCs w:val="24"/>
        </w:rPr>
        <w:t xml:space="preserve"> DK, Garland A, </w:t>
      </w:r>
      <w:proofErr w:type="spellStart"/>
      <w:r w:rsidRPr="00724EDF">
        <w:rPr>
          <w:rFonts w:asciiTheme="majorHAnsi" w:hAnsiTheme="majorHAnsi"/>
          <w:sz w:val="24"/>
          <w:szCs w:val="24"/>
        </w:rPr>
        <w:t>Bagshaw</w:t>
      </w:r>
      <w:proofErr w:type="spellEnd"/>
      <w:r w:rsidRPr="00724EDF">
        <w:rPr>
          <w:rFonts w:asciiTheme="majorHAnsi" w:hAnsiTheme="majorHAnsi"/>
          <w:sz w:val="24"/>
          <w:szCs w:val="24"/>
        </w:rPr>
        <w:t xml:space="preserve"> SM, et al.  Recovery after critical illness in patients age</w:t>
      </w:r>
      <w:r w:rsidR="00724EDF">
        <w:rPr>
          <w:rFonts w:asciiTheme="majorHAnsi" w:hAnsiTheme="majorHAnsi"/>
          <w:sz w:val="24"/>
          <w:szCs w:val="24"/>
        </w:rPr>
        <w:t xml:space="preserve">d 80 years </w:t>
      </w:r>
      <w:r w:rsidRPr="00724EDF">
        <w:rPr>
          <w:rFonts w:asciiTheme="majorHAnsi" w:hAnsiTheme="majorHAnsi"/>
          <w:sz w:val="24"/>
          <w:szCs w:val="24"/>
        </w:rPr>
        <w:t>or older: a multi-</w:t>
      </w:r>
      <w:proofErr w:type="spellStart"/>
      <w:r w:rsidRPr="00724EDF">
        <w:rPr>
          <w:rFonts w:asciiTheme="majorHAnsi" w:hAnsiTheme="majorHAnsi"/>
          <w:sz w:val="24"/>
          <w:szCs w:val="24"/>
        </w:rPr>
        <w:t>center</w:t>
      </w:r>
      <w:proofErr w:type="spellEnd"/>
      <w:r w:rsidRPr="00724EDF">
        <w:rPr>
          <w:rFonts w:asciiTheme="majorHAnsi" w:hAnsiTheme="majorHAnsi"/>
          <w:sz w:val="24"/>
          <w:szCs w:val="24"/>
        </w:rPr>
        <w:t xml:space="preserve"> prospective observational cohort study.  Intensive Care Med 2015; 41(11)</w:t>
      </w:r>
      <w:proofErr w:type="gramStart"/>
      <w:r w:rsidRPr="00724EDF">
        <w:rPr>
          <w:rFonts w:asciiTheme="majorHAnsi" w:hAnsiTheme="majorHAnsi"/>
          <w:sz w:val="24"/>
          <w:szCs w:val="24"/>
        </w:rPr>
        <w:t>:1911</w:t>
      </w:r>
      <w:proofErr w:type="gramEnd"/>
      <w:r w:rsidRPr="00724EDF">
        <w:rPr>
          <w:rFonts w:asciiTheme="majorHAnsi" w:hAnsiTheme="majorHAnsi"/>
          <w:sz w:val="24"/>
          <w:szCs w:val="24"/>
        </w:rPr>
        <w:t>-1920.</w:t>
      </w:r>
    </w:p>
    <w:p w14:paraId="75A454CD" w14:textId="77777777" w:rsidR="002B1CA4" w:rsidRPr="00724EDF" w:rsidRDefault="002B1CA4" w:rsidP="00724EDF">
      <w:pPr>
        <w:spacing w:after="120"/>
        <w:ind w:left="142" w:hanging="851"/>
        <w:jc w:val="both"/>
        <w:rPr>
          <w:rFonts w:eastAsia="MS Mincho" w:cs="Arial"/>
          <w:sz w:val="24"/>
          <w:szCs w:val="24"/>
        </w:rPr>
      </w:pPr>
      <w:r w:rsidRPr="00724EDF">
        <w:rPr>
          <w:rFonts w:eastAsia="MS Mincho" w:cs="Arial"/>
          <w:sz w:val="24"/>
          <w:szCs w:val="24"/>
        </w:rPr>
        <w:t xml:space="preserve">11. </w:t>
      </w:r>
      <w:proofErr w:type="spellStart"/>
      <w:r w:rsidRPr="00724EDF">
        <w:rPr>
          <w:rFonts w:eastAsia="MS Mincho" w:cs="Arial"/>
          <w:sz w:val="24"/>
          <w:szCs w:val="24"/>
        </w:rPr>
        <w:t>Kaukonon</w:t>
      </w:r>
      <w:proofErr w:type="spellEnd"/>
      <w:r w:rsidRPr="00724EDF">
        <w:rPr>
          <w:rFonts w:eastAsia="MS Mincho" w:cs="Arial"/>
          <w:sz w:val="24"/>
          <w:szCs w:val="24"/>
        </w:rPr>
        <w:t xml:space="preserve"> KM et al Mortality related to severe sepsis and septic shock among critically ill patients in Australia and New Zealand, 2000-2012.  JAMA 2014</w:t>
      </w:r>
      <w:proofErr w:type="gramStart"/>
      <w:r w:rsidRPr="00724EDF">
        <w:rPr>
          <w:rFonts w:eastAsia="MS Mincho" w:cs="Arial"/>
          <w:sz w:val="24"/>
          <w:szCs w:val="24"/>
        </w:rPr>
        <w:t>;311</w:t>
      </w:r>
      <w:proofErr w:type="gramEnd"/>
      <w:r w:rsidRPr="00724EDF">
        <w:rPr>
          <w:rFonts w:eastAsia="MS Mincho" w:cs="Arial"/>
          <w:sz w:val="24"/>
          <w:szCs w:val="24"/>
        </w:rPr>
        <w:t>(13):1308-1316.</w:t>
      </w:r>
    </w:p>
    <w:p w14:paraId="3C56273F" w14:textId="77777777" w:rsidR="002B1CA4" w:rsidRPr="00724EDF" w:rsidRDefault="002B1CA4" w:rsidP="00724EDF">
      <w:pPr>
        <w:spacing w:after="120"/>
        <w:ind w:left="142" w:hanging="851"/>
        <w:jc w:val="both"/>
        <w:rPr>
          <w:sz w:val="24"/>
          <w:szCs w:val="24"/>
        </w:rPr>
      </w:pPr>
      <w:r w:rsidRPr="00724EDF">
        <w:rPr>
          <w:sz w:val="24"/>
          <w:szCs w:val="24"/>
        </w:rPr>
        <w:t xml:space="preserve">12 </w:t>
      </w:r>
      <w:proofErr w:type="spellStart"/>
      <w:r w:rsidRPr="00724EDF">
        <w:rPr>
          <w:sz w:val="24"/>
          <w:szCs w:val="24"/>
        </w:rPr>
        <w:t>Rawal</w:t>
      </w:r>
      <w:proofErr w:type="spellEnd"/>
      <w:r w:rsidRPr="00724EDF">
        <w:rPr>
          <w:sz w:val="24"/>
          <w:szCs w:val="24"/>
        </w:rPr>
        <w:t xml:space="preserve"> G et al Post-intensive care </w:t>
      </w:r>
      <w:proofErr w:type="gramStart"/>
      <w:r w:rsidRPr="00724EDF">
        <w:rPr>
          <w:sz w:val="24"/>
          <w:szCs w:val="24"/>
        </w:rPr>
        <w:t>syndrome</w:t>
      </w:r>
      <w:proofErr w:type="gramEnd"/>
      <w:r w:rsidRPr="00724EDF">
        <w:rPr>
          <w:sz w:val="24"/>
          <w:szCs w:val="24"/>
        </w:rPr>
        <w:t>: an overview. J Transl Int Med 2017; 5(2)</w:t>
      </w:r>
      <w:proofErr w:type="gramStart"/>
      <w:r w:rsidRPr="00724EDF">
        <w:rPr>
          <w:sz w:val="24"/>
          <w:szCs w:val="24"/>
        </w:rPr>
        <w:t>:90</w:t>
      </w:r>
      <w:proofErr w:type="gramEnd"/>
      <w:r w:rsidRPr="00724EDF">
        <w:rPr>
          <w:sz w:val="24"/>
          <w:szCs w:val="24"/>
        </w:rPr>
        <w:t>-92.</w:t>
      </w:r>
    </w:p>
    <w:p w14:paraId="502C6F95" w14:textId="77777777" w:rsidR="002B1CA4" w:rsidRPr="00724EDF" w:rsidRDefault="002B1CA4" w:rsidP="00724EDF">
      <w:pPr>
        <w:widowControl w:val="0"/>
        <w:autoSpaceDE w:val="0"/>
        <w:autoSpaceDN w:val="0"/>
        <w:adjustRightInd w:val="0"/>
        <w:spacing w:after="120"/>
        <w:ind w:left="142" w:hanging="851"/>
        <w:jc w:val="both"/>
        <w:rPr>
          <w:rFonts w:cs="Times New Roman"/>
          <w:color w:val="231F20"/>
          <w:sz w:val="24"/>
          <w:szCs w:val="24"/>
          <w:lang w:val="en-US"/>
        </w:rPr>
      </w:pPr>
      <w:r w:rsidRPr="00724EDF">
        <w:rPr>
          <w:rFonts w:cs="Times New Roman"/>
          <w:color w:val="231F20"/>
          <w:sz w:val="24"/>
          <w:szCs w:val="24"/>
          <w:lang w:val="en-US"/>
        </w:rPr>
        <w:t xml:space="preserve">13. Jones DA et al. The role of the medical emergency team in end-of-life care: a multicenter, prospective, observational study. </w:t>
      </w:r>
      <w:proofErr w:type="spellStart"/>
      <w:proofErr w:type="gramStart"/>
      <w:r w:rsidRPr="00724EDF">
        <w:rPr>
          <w:rFonts w:cs="Times New Roman"/>
          <w:color w:val="231F20"/>
          <w:sz w:val="24"/>
          <w:szCs w:val="24"/>
          <w:lang w:val="en-US"/>
        </w:rPr>
        <w:t>Crit</w:t>
      </w:r>
      <w:proofErr w:type="spellEnd"/>
      <w:r w:rsidRPr="00724EDF">
        <w:rPr>
          <w:rFonts w:cs="Times New Roman"/>
          <w:color w:val="231F20"/>
          <w:sz w:val="24"/>
          <w:szCs w:val="24"/>
          <w:lang w:val="en-US"/>
        </w:rPr>
        <w:t xml:space="preserve"> Care Med 2012; 40:98–103.</w:t>
      </w:r>
      <w:proofErr w:type="gramEnd"/>
      <w:r w:rsidRPr="00724EDF">
        <w:rPr>
          <w:rFonts w:cs="Times New Roman"/>
          <w:color w:val="231F20"/>
          <w:sz w:val="24"/>
          <w:szCs w:val="24"/>
          <w:lang w:val="en-US"/>
        </w:rPr>
        <w:t xml:space="preserve"> </w:t>
      </w:r>
    </w:p>
    <w:p w14:paraId="53C17CD9" w14:textId="77777777" w:rsidR="001A57E5" w:rsidRPr="00724EDF" w:rsidRDefault="001A57E5" w:rsidP="00724EDF">
      <w:pPr>
        <w:rPr>
          <w:sz w:val="24"/>
          <w:szCs w:val="24"/>
        </w:rPr>
      </w:pPr>
    </w:p>
    <w:sectPr w:rsidR="001A57E5" w:rsidRPr="00724EDF" w:rsidSect="00724EDF">
      <w:pgSz w:w="11900" w:h="16840"/>
      <w:pgMar w:top="1440" w:right="74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A4"/>
    <w:rsid w:val="00087225"/>
    <w:rsid w:val="00191112"/>
    <w:rsid w:val="001A57E5"/>
    <w:rsid w:val="001E600F"/>
    <w:rsid w:val="002B1CA4"/>
    <w:rsid w:val="002F49B9"/>
    <w:rsid w:val="00413C9E"/>
    <w:rsid w:val="00462525"/>
    <w:rsid w:val="00545786"/>
    <w:rsid w:val="00575A4D"/>
    <w:rsid w:val="00672A42"/>
    <w:rsid w:val="006D37DE"/>
    <w:rsid w:val="006E20B5"/>
    <w:rsid w:val="00724EDF"/>
    <w:rsid w:val="00792FAD"/>
    <w:rsid w:val="007F69D8"/>
    <w:rsid w:val="00821565"/>
    <w:rsid w:val="00914FFD"/>
    <w:rsid w:val="00CD41E4"/>
    <w:rsid w:val="00DF658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4E1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32"/>
        <w:szCs w:val="32"/>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A4"/>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A4"/>
    <w:pPr>
      <w:spacing w:line="276" w:lineRule="auto"/>
      <w:ind w:left="720"/>
      <w:contextualSpacing/>
    </w:pPr>
    <w:rPr>
      <w:rFonts w:asciiTheme="minorHAnsi" w:eastAsiaTheme="minorHAnsi" w:hAnsiTheme="minorHAnsi"/>
      <w:sz w:val="22"/>
      <w:szCs w:val="22"/>
      <w:lang w:eastAsia="en-US"/>
    </w:rPr>
  </w:style>
  <w:style w:type="character" w:styleId="Hyperlink">
    <w:name w:val="Hyperlink"/>
    <w:basedOn w:val="DefaultParagraphFont"/>
    <w:uiPriority w:val="99"/>
    <w:unhideWhenUsed/>
    <w:rsid w:val="002B1CA4"/>
    <w:rPr>
      <w:color w:val="0000FF" w:themeColor="hyperlink"/>
      <w:u w:val="single"/>
    </w:rPr>
  </w:style>
  <w:style w:type="character" w:styleId="FollowedHyperlink">
    <w:name w:val="FollowedHyperlink"/>
    <w:basedOn w:val="DefaultParagraphFont"/>
    <w:uiPriority w:val="99"/>
    <w:semiHidden/>
    <w:unhideWhenUsed/>
    <w:rsid w:val="00724E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32"/>
        <w:szCs w:val="32"/>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A4"/>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A4"/>
    <w:pPr>
      <w:spacing w:line="276" w:lineRule="auto"/>
      <w:ind w:left="720"/>
      <w:contextualSpacing/>
    </w:pPr>
    <w:rPr>
      <w:rFonts w:asciiTheme="minorHAnsi" w:eastAsiaTheme="minorHAnsi" w:hAnsiTheme="minorHAnsi"/>
      <w:sz w:val="22"/>
      <w:szCs w:val="22"/>
      <w:lang w:eastAsia="en-US"/>
    </w:rPr>
  </w:style>
  <w:style w:type="character" w:styleId="Hyperlink">
    <w:name w:val="Hyperlink"/>
    <w:basedOn w:val="DefaultParagraphFont"/>
    <w:uiPriority w:val="99"/>
    <w:unhideWhenUsed/>
    <w:rsid w:val="002B1CA4"/>
    <w:rPr>
      <w:color w:val="0000FF" w:themeColor="hyperlink"/>
      <w:u w:val="single"/>
    </w:rPr>
  </w:style>
  <w:style w:type="character" w:styleId="FollowedHyperlink">
    <w:name w:val="FollowedHyperlink"/>
    <w:basedOn w:val="DefaultParagraphFont"/>
    <w:uiPriority w:val="99"/>
    <w:semiHidden/>
    <w:unhideWhenUsed/>
    <w:rsid w:val="00724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i.org/10.1093/ofid/ofw0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695</Words>
  <Characters>3965</Characters>
  <Application>Microsoft Macintosh Word</Application>
  <DocSecurity>0</DocSecurity>
  <Lines>33</Lines>
  <Paragraphs>9</Paragraphs>
  <ScaleCrop>false</ScaleCrop>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Geoffrey  Lighthall</cp:lastModifiedBy>
  <cp:revision>3</cp:revision>
  <dcterms:created xsi:type="dcterms:W3CDTF">2018-06-14T03:26:00Z</dcterms:created>
  <dcterms:modified xsi:type="dcterms:W3CDTF">2018-08-07T02:23:00Z</dcterms:modified>
</cp:coreProperties>
</file>